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Default Extension="fntdata" ContentType="application/x-fontdata"/>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865"/>
      </w:tblGrid>
      <w:tr>
        <w:tc>
          <w:tcPr>
            <w:tcW w:type="dxa" w:w="9865"/>
            <w:shd w:val="clear" w:color="auto" w:fill="35394F"/>
            <w:tcMar>
              <w:top w:w="240" w:type="dxa"/>
              <w:left w:w="0" w:type="dxa"/>
              <w:bottom w:w="240" w:type="dxa"/>
              <w:right w:w="0" w:type="dxa"/>
            </w:tcMar>
          </w:tcPr>
          <w:p>
            <w:pPr>
              <w:spacing w:before="0" w:after="0" w:line="240" w:lineRule="auto"/>
              <w:ind w:left="260" w:right="260"/>
              <w:jc w:val="right"/>
            </w:pPr>
            <w:hyperlink r:id="rId10">
              <w:r>
                <w:drawing>
                  <wp:inline xmlns:a="http://schemas.openxmlformats.org/drawingml/2006/main" xmlns:pic="http://schemas.openxmlformats.org/drawingml/2006/picture">
                    <wp:extent cx="720000" cy="391800"/>
                    <wp:docPr id="1" name="Picture 1" descr="ETHYX — ethyx.eu" title="ETHYX — ethyx.eu"/>
                    <wp:cNvGraphicFramePr>
                      <a:graphicFrameLocks noChangeAspect="1"/>
                    </wp:cNvGraphicFramePr>
                    <a:graphic>
                      <a:graphicData uri="http://schemas.openxmlformats.org/drawingml/2006/picture">
                        <pic:pic>
                          <pic:nvPicPr>
                            <pic:cNvPr id="0" name="logo-lockup.png"/>
                            <pic:cNvPicPr/>
                          </pic:nvPicPr>
                          <pic:blipFill>
                            <a:blip r:embed="rId9"/>
                            <a:stretch>
                              <a:fillRect/>
                            </a:stretch>
                          </pic:blipFill>
                          <pic:spPr>
                            <a:xfrm>
                              <a:off x="0" y="0"/>
                              <a:ext cx="720000" cy="391800"/>
                            </a:xfrm>
                            <a:prstGeom prst="rect"/>
                          </pic:spPr>
                        </pic:pic>
                      </a:graphicData>
                    </a:graphic>
                  </wp:inline>
                </w:drawing>
              </w:r>
            </w:hyperlink>
          </w:p>
          <w:p>
            <w:pPr>
              <w:spacing w:before="0" w:after="0" w:line="240" w:lineRule="exact"/>
              <w:ind w:left="260" w:right="260"/>
            </w:pPr>
          </w:p>
          <w:p>
            <w:pPr>
              <w:spacing w:before="0" w:after="0" w:line="252" w:lineRule="auto"/>
              <w:ind w:left="260" w:right="260"/>
            </w:pPr>
            <w:r>
              <w:rPr>
                <w:rFonts w:ascii="Funnel Display" w:hAnsi="Funnel Display" w:cs="Funnel Display" w:eastAsia="Funnel Display"/>
                <w:b/>
                <w:i w:val="0"/>
                <w:color w:val="FFFFFF"/>
                <w:sz w:val="44"/>
              </w:rPr>
              <w:t>Deployer Documentation Pack</w:t>
            </w:r>
          </w:p>
          <w:p>
            <w:pPr>
              <w:spacing w:before="100" w:after="0" w:line="276" w:lineRule="auto"/>
              <w:ind w:left="260" w:right="260"/>
            </w:pPr>
            <w:r>
              <w:rPr>
                <w:rFonts w:ascii="Inter" w:hAnsi="Inter" w:cs="Inter" w:eastAsia="Inter"/>
                <w:b w:val="0"/>
                <w:i w:val="0"/>
                <w:color w:val="FFFFFF"/>
                <w:sz w:val="21"/>
              </w:rPr>
              <w:t>EU AI Act (Regulation 2024/1689) · Art. 4, 26, 27 &amp; 50 forms for deployers · EN</w:t>
            </w:r>
          </w:p>
          <w:p>
            <w:pPr>
              <w:spacing w:before="140" w:after="0" w:line="288" w:lineRule="auto"/>
              <w:ind w:left="260" w:right="260"/>
            </w:pPr>
            <w:r>
              <w:rPr>
                <w:rFonts w:ascii="Inter" w:hAnsi="Inter" w:cs="Inter" w:eastAsia="Inter"/>
                <w:b w:val="0"/>
                <w:i w:val="0"/>
                <w:color w:val="E5E7EB"/>
                <w:sz w:val="15"/>
              </w:rPr>
              <w:t>Legally reviewed by a certified Data Protection Officer (CIPP/E) · Provided by ETHYX · Version 1.1 · July 2026</w:t>
            </w:r>
          </w:p>
        </w:tc>
      </w:tr>
    </w:tbl>
    <w:p>
      <w:pPr>
        <w:shd w:val="clear" w:color="auto" w:fill="E34663"/>
        <w:spacing w:before="0" w:after="200" w:line="60" w:lineRule="exact"/>
      </w:pPr>
    </w:p>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w:t>
            </w:r>
            <w:r>
              <w:rPr>
                <w:rFonts w:ascii="Inter" w:hAnsi="Inter" w:cs="Inter" w:eastAsia="Inter"/>
                <w:b w:val="0"/>
                <w:i w:val="0"/>
                <w:color w:val="35394F"/>
                <w:sz w:val="16"/>
              </w:rPr>
              <w:t>Use this pack when deploying an AI system – especially a high-risk system (Art. 6 + Annex III). Complete Form 1 for every AI system. Complete Forms 2–4 for high-risk systems. Form 5 (Art. 50 transparency) applies to any system covered by Art. 50 (chatbots, synthetic content, emotion recognition). Delete this guidance box before finalising. Have a certified Data Protection Officer or qualified counsel review the completed pack.</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Form 1 – AI Literacy Training Record (Art. 4 EU AI Act)</w:t>
      </w:r>
    </w:p>
    <w:p>
      <w:pPr>
        <w:spacing w:before="0" w:after="120" w:line="324" w:lineRule="auto"/>
        <w:ind w:left="260" w:right="260"/>
      </w:pPr>
      <w:r>
        <w:rPr>
          <w:rFonts w:ascii="Inter" w:hAnsi="Inter" w:cs="Inter" w:eastAsia="Inter"/>
          <w:b w:val="0"/>
          <w:i w:val="0"/>
          <w:color w:val="35394F"/>
          <w:sz w:val="20"/>
        </w:rPr>
        <w:t>Art. 4 EU AI Act requires deployers to ensure that staff who work with AI systems have a sufficient level of AI literacy – understanding capabilities, limitations, and risks relevant to their role. Complete this form for each training session or individual induction.</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w:t>
            </w:r>
            <w:r>
              <w:rPr>
                <w:rFonts w:ascii="Inter" w:hAnsi="Inter" w:cs="Inter" w:eastAsia="Inter"/>
                <w:b w:val="0"/>
                <w:i w:val="0"/>
                <w:color w:val="35394F"/>
                <w:sz w:val="16"/>
              </w:rPr>
              <w:t>Minimum content: what AI systems the organisation uses, their risk classification, the employee's obligations (report concerns, apply human oversight, do not bypass safeguards), and what to do if the system behaves unexpectedly. You do not need to train all staff to expert level – the depth should match their level of involvement with each AI system.</w:t>
            </w:r>
          </w:p>
        </w:tc>
      </w:tr>
    </w:tbl>
    <w:p>
      <w:pPr>
        <w:spacing w:before="0" w:after="0" w:line="120" w:lineRule="exact"/>
      </w:pPr>
    </w:p>
    <w:p>
      <w:pPr>
        <w:keepNext w:val="1"/>
        <w:keepLines w:val="1"/>
        <w:spacing w:before="180" w:after="60" w:line="276" w:lineRule="auto"/>
        <w:ind w:left="260" w:right="260"/>
      </w:pPr>
      <w:r>
        <w:rPr>
          <w:rFonts w:ascii="Funnel Display" w:hAnsi="Funnel Display" w:cs="Funnel Display" w:eastAsia="Funnel Display"/>
          <w:b/>
          <w:i w:val="0"/>
          <w:color w:val="35394F"/>
          <w:sz w:val="21"/>
        </w:rPr>
        <w:t>Training session details</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Training date:</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Trainer / responsible person:</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Training format:  (e.g. workshop, e-learning, briefing, onboarding session)</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AI systems covered in training:  (List system names from AI System Inventory)</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Duration:  (e.g. 60 minutes)</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p>
      <w:pPr>
        <w:keepNext w:val="1"/>
        <w:keepLines w:val="1"/>
        <w:spacing w:before="180" w:after="60" w:line="276" w:lineRule="auto"/>
        <w:ind w:left="260" w:right="260"/>
      </w:pPr>
      <w:r>
        <w:rPr>
          <w:rFonts w:ascii="Funnel Display" w:hAnsi="Funnel Display" w:cs="Funnel Display" w:eastAsia="Funnel Display"/>
          <w:b/>
          <w:i w:val="0"/>
          <w:color w:val="35394F"/>
          <w:sz w:val="21"/>
        </w:rPr>
        <w:t>Topics covered</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What is AI – definition under EU AI Act (Art. 3(1)) and examples in our organisation.</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Risk classification of each system we use – prohibited / high-risk / limited / minimal.</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Deployer obligations: human oversight, intended use, escalation procedure.</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Art. 50 transparency: when to disclose AI use to third parties.</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Data protection and privacy rules relevant to AI tool use (GDPR).</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How to report concerns or unexpected AI behaviour.</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Our AI Acceptable Use Policy (AUP) – what is and is not permitted.</w:t>
      </w:r>
    </w:p>
    <w:p>
      <w:pPr>
        <w:spacing w:before="0" w:after="0" w:line="80" w:lineRule="exact"/>
      </w:pPr>
    </w:p>
    <w:p>
      <w:pPr>
        <w:keepNext w:val="1"/>
        <w:keepLines w:val="1"/>
        <w:spacing w:before="180" w:after="60" w:line="276" w:lineRule="auto"/>
        <w:ind w:left="260" w:right="260"/>
      </w:pPr>
      <w:r>
        <w:rPr>
          <w:rFonts w:ascii="Funnel Display" w:hAnsi="Funnel Display" w:cs="Funnel Display" w:eastAsia="Funnel Display"/>
          <w:b/>
          <w:i w:val="0"/>
          <w:color w:val="35394F"/>
          <w:sz w:val="21"/>
        </w:rPr>
        <w:t>Participant record</w:t>
      </w:r>
    </w:p>
    <w:p>
      <w:pPr>
        <w:spacing w:before="0" w:after="120" w:line="324" w:lineRule="auto"/>
        <w:ind w:left="260" w:right="260"/>
      </w:pPr>
      <w:r>
        <w:rPr>
          <w:rFonts w:ascii="Inter" w:hAnsi="Inter" w:cs="Inter" w:eastAsia="Inter"/>
          <w:b w:val="0"/>
          <w:i w:val="0"/>
          <w:color w:val="35394F"/>
          <w:sz w:val="20"/>
        </w:rPr>
        <w:t>List all participants who attended this training session.</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2297"/>
        <w:gridCol w:w="2826"/>
        <w:gridCol w:w="2633"/>
        <w:gridCol w:w="2109"/>
      </w:tblGrid>
      <w:tr>
        <w:trPr>
          <w:cantSplit w:val="1"/>
          <w:tblHeader w:val="1"/>
        </w:trPr>
        <w:tc>
          <w:tcPr>
            <w:tcW w:type="dxa" w:w="2297"/>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Name</w:t>
            </w:r>
          </w:p>
        </w:tc>
        <w:tc>
          <w:tcPr>
            <w:tcW w:type="dxa" w:w="2826"/>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Department / Role</w:t>
            </w:r>
          </w:p>
        </w:tc>
        <w:tc>
          <w:tcPr>
            <w:tcW w:type="dxa" w:w="2633"/>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Signature</w:t>
            </w:r>
          </w:p>
        </w:tc>
        <w:tc>
          <w:tcPr>
            <w:tcW w:type="dxa" w:w="2109"/>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Date</w:t>
            </w:r>
          </w:p>
        </w:tc>
      </w:tr>
      <w:tr>
        <w:trPr>
          <w:cantSplit w:val="1"/>
        </w:trPr>
        <w:tc>
          <w:tcPr>
            <w:tcW w:type="dxa" w:w="2297"/>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282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633"/>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109"/>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2297"/>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2826"/>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633"/>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109"/>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r>
        <w:trPr>
          <w:cantSplit w:val="1"/>
        </w:trPr>
        <w:tc>
          <w:tcPr>
            <w:tcW w:type="dxa" w:w="2297"/>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282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633"/>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109"/>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2297"/>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2826"/>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633"/>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109"/>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r>
        <w:trPr>
          <w:cantSplit w:val="1"/>
        </w:trPr>
        <w:tc>
          <w:tcPr>
            <w:tcW w:type="dxa" w:w="2297"/>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282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633"/>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109"/>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2297"/>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2826"/>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633"/>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109"/>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r>
        <w:trPr>
          <w:cantSplit w:val="1"/>
        </w:trPr>
        <w:tc>
          <w:tcPr>
            <w:tcW w:type="dxa" w:w="2297"/>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282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633"/>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109"/>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bl>
    <w:p>
      <w:pPr>
        <w:spacing w:before="0" w:after="0" w:line="160" w:lineRule="exact"/>
      </w:pPr>
    </w:p>
    <w:p>
      <w:pPr>
        <w:spacing w:before="0" w:after="120" w:line="324" w:lineRule="auto"/>
        <w:ind w:left="260" w:right="260"/>
      </w:pPr>
      <w:r>
        <w:rPr>
          <w:rFonts w:ascii="Inter" w:hAnsi="Inter" w:cs="Inter" w:eastAsia="Inter"/>
          <w:b w:val="0"/>
          <w:i w:val="0"/>
          <w:color w:val="35394F"/>
          <w:sz w:val="20"/>
        </w:rPr>
        <w:t>☐  Additional participants listed on separate sheet attached</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Form 2 – Deployer Obligations Record (Art. 26 EU AI Act)</w:t>
      </w:r>
    </w:p>
    <w:p>
      <w:pPr>
        <w:spacing w:before="0" w:after="120" w:line="324" w:lineRule="auto"/>
        <w:ind w:left="260" w:right="260"/>
      </w:pPr>
      <w:r>
        <w:rPr>
          <w:rFonts w:ascii="Inter" w:hAnsi="Inter" w:cs="Inter" w:eastAsia="Inter"/>
          <w:b w:val="0"/>
          <w:i w:val="0"/>
          <w:color w:val="35394F"/>
          <w:sz w:val="20"/>
        </w:rPr>
        <w:t>Complete one copy of this form per high-risk AI system you deploy. Art. 26 applies when you use a high-risk AI system (Annex III) as defined by Art. 6. Keep this form with your AI documentation and make it available to supervisory authorities on request.</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w:t>
            </w:r>
            <w:r>
              <w:rPr>
                <w:rFonts w:ascii="Inter" w:hAnsi="Inter" w:cs="Inter" w:eastAsia="Inter"/>
                <w:b w:val="0"/>
                <w:i w:val="0"/>
                <w:color w:val="35394F"/>
                <w:sz w:val="16"/>
              </w:rPr>
              <w:t>Deployer ≠ provider. You are the deployer if you put a third-party AI system to use in a professional context. Key obligation: use the system only for its intended purpose, implement human oversight, keep logs where technically feasible, report serious incidents, and cooperate with the provider and authorities.</w:t>
            </w:r>
          </w:p>
        </w:tc>
      </w:tr>
    </w:tbl>
    <w:p>
      <w:pPr>
        <w:spacing w:before="0" w:after="0" w:line="120" w:lineRule="exact"/>
      </w:pPr>
    </w:p>
    <w:p>
      <w:pPr>
        <w:keepNext w:val="1"/>
        <w:keepLines w:val="1"/>
        <w:spacing w:before="180" w:after="60" w:line="276" w:lineRule="auto"/>
        <w:ind w:left="260" w:right="260"/>
      </w:pPr>
      <w:r>
        <w:rPr>
          <w:rFonts w:ascii="Funnel Display" w:hAnsi="Funnel Display" w:cs="Funnel Display" w:eastAsia="Funnel Display"/>
          <w:b/>
          <w:i w:val="0"/>
          <w:color w:val="35394F"/>
          <w:sz w:val="21"/>
        </w:rPr>
        <w:t>System identification</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System name:  (From AI System Inventory)</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Provider / vendor:  (Company name and country)</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Intended purpose (as documented by provider):</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AI System Inventory ID:  (e.g. AI-003)</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Risk classification:  (High risk – Annex III category: ___)</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Date system first deployed in organisation:</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p>
      <w:pPr>
        <w:keepNext w:val="1"/>
        <w:keepLines w:val="1"/>
        <w:spacing w:before="180" w:after="60" w:line="276" w:lineRule="auto"/>
        <w:ind w:left="260" w:right="260"/>
      </w:pPr>
      <w:r>
        <w:rPr>
          <w:rFonts w:ascii="Funnel Display" w:hAnsi="Funnel Display" w:cs="Funnel Display" w:eastAsia="Funnel Display"/>
          <w:b/>
          <w:i w:val="0"/>
          <w:color w:val="35394F"/>
          <w:sz w:val="21"/>
        </w:rPr>
        <w:t>Art. 26 obligations – compliance status</w:t>
      </w:r>
    </w:p>
    <w:p>
      <w:pPr>
        <w:spacing w:before="0" w:after="120" w:line="324" w:lineRule="auto"/>
        <w:ind w:left="260" w:right="260"/>
      </w:pPr>
      <w:r>
        <w:rPr>
          <w:rFonts w:ascii="Inter" w:hAnsi="Inter" w:cs="Inter" w:eastAsia="Inter"/>
          <w:b w:val="0"/>
          <w:i w:val="0"/>
          <w:color w:val="35394F"/>
          <w:sz w:val="20"/>
        </w:rPr>
        <w:t>☐  Use the system only for its intended purpose and in accordance with the instructions for use.</w:t>
      </w:r>
    </w:p>
    <w:p>
      <w:pPr>
        <w:spacing w:before="0" w:after="120" w:line="324" w:lineRule="auto"/>
        <w:ind w:left="260" w:right="260"/>
      </w:pPr>
      <w:r>
        <w:rPr>
          <w:rFonts w:ascii="Inter" w:hAnsi="Inter" w:cs="Inter" w:eastAsia="Inter"/>
          <w:b w:val="0"/>
          <w:i w:val="0"/>
          <w:color w:val="35394F"/>
          <w:sz w:val="20"/>
        </w:rPr>
        <w:t>☐  Inform the provider if we become aware the system presents a risk (Art. 26(5)).</w:t>
      </w:r>
    </w:p>
    <w:p>
      <w:pPr>
        <w:spacing w:before="0" w:after="120" w:line="324" w:lineRule="auto"/>
        <w:ind w:left="260" w:right="260"/>
      </w:pPr>
      <w:r>
        <w:rPr>
          <w:rFonts w:ascii="Inter" w:hAnsi="Inter" w:cs="Inter" w:eastAsia="Inter"/>
          <w:b w:val="0"/>
          <w:i w:val="0"/>
          <w:color w:val="35394F"/>
          <w:sz w:val="20"/>
        </w:rPr>
        <w:t>☐  Apply appropriate human oversight measures – human reviews decisions before they take effect on individuals.  (Describe oversight mechanism below.)</w:t>
      </w:r>
    </w:p>
    <w:p>
      <w:pPr>
        <w:spacing w:before="0" w:after="120" w:line="324" w:lineRule="auto"/>
        <w:ind w:left="260" w:right="260"/>
      </w:pPr>
      <w:r>
        <w:rPr>
          <w:rFonts w:ascii="Inter" w:hAnsi="Inter" w:cs="Inter" w:eastAsia="Inter"/>
          <w:b w:val="0"/>
          <w:i w:val="0"/>
          <w:color w:val="35394F"/>
          <w:sz w:val="20"/>
        </w:rPr>
        <w:t>☐  Maintain logs of operation where the system provides this functionality (Art. 26(6)).</w:t>
      </w:r>
    </w:p>
    <w:p>
      <w:pPr>
        <w:spacing w:before="0" w:after="120" w:line="324" w:lineRule="auto"/>
        <w:ind w:left="260" w:right="260"/>
      </w:pPr>
      <w:r>
        <w:rPr>
          <w:rFonts w:ascii="Inter" w:hAnsi="Inter" w:cs="Inter" w:eastAsia="Inter"/>
          <w:b w:val="0"/>
          <w:i w:val="0"/>
          <w:color w:val="35394F"/>
          <w:sz w:val="20"/>
        </w:rPr>
        <w:t>☐  Not use the system to generate or disseminate content that qualifies as disinformation.</w:t>
      </w:r>
    </w:p>
    <w:p>
      <w:pPr>
        <w:spacing w:before="0" w:after="120" w:line="324" w:lineRule="auto"/>
        <w:ind w:left="260" w:right="260"/>
      </w:pPr>
      <w:r>
        <w:rPr>
          <w:rFonts w:ascii="Inter" w:hAnsi="Inter" w:cs="Inter" w:eastAsia="Inter"/>
          <w:b w:val="0"/>
          <w:i w:val="0"/>
          <w:color w:val="35394F"/>
          <w:sz w:val="20"/>
        </w:rPr>
        <w:t>☐  Conduct a Fundamental Rights Impact Assessment where required (Art. 27) – see Form 3.  (Mandatory for public bodies and certain deployers.)</w:t>
      </w:r>
    </w:p>
    <w:p>
      <w:pPr>
        <w:spacing w:before="0" w:after="120" w:line="324" w:lineRule="auto"/>
        <w:ind w:left="260" w:right="260"/>
      </w:pPr>
      <w:r>
        <w:rPr>
          <w:rFonts w:ascii="Inter" w:hAnsi="Inter" w:cs="Inter" w:eastAsia="Inter"/>
          <w:b w:val="0"/>
          <w:i w:val="0"/>
          <w:color w:val="35394F"/>
          <w:sz w:val="20"/>
        </w:rPr>
        <w:t>☐  Ensure staff who use or oversee the system have received AI literacy training (Art. 4) – see Form 1.</w:t>
      </w:r>
    </w:p>
    <w:p>
      <w:pPr>
        <w:spacing w:before="0" w:after="120" w:line="324" w:lineRule="auto"/>
        <w:ind w:left="260" w:right="260"/>
      </w:pPr>
      <w:r>
        <w:rPr>
          <w:rFonts w:ascii="Inter" w:hAnsi="Inter" w:cs="Inter" w:eastAsia="Inter"/>
          <w:b w:val="0"/>
          <w:i w:val="0"/>
          <w:color w:val="35394F"/>
          <w:sz w:val="20"/>
        </w:rPr>
        <w:t>☐  Cooperate with national competent authority investigations on request.</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Human oversight mechanism in place:</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r>
        <w:trPr>
          <w:cantSplit w:val="1"/>
        </w:trPr>
        <w:tc>
          <w:tcPr>
            <w:tcW w:type="dxa" w:w="3551"/>
            <w:tcBorders>
              <w:bottom w:val="single" w:sz="4" w:space="0" w:color="6B7280"/>
            </w:tcBorders>
            <w:shd w:val="clear" w:color="auto" w:fill="F9FAFB"/>
            <w:tcMar>
              <w:top w:w="90" w:type="dxa"/>
              <w:left w:w="0" w:type="dxa"/>
              <w:bottom w:w="90" w:type="dxa"/>
              <w:right w:w="120" w:type="dxa"/>
            </w:tcMar>
            <w:vAlign w:val="top"/>
          </w:tcPr>
          <w:p>
            <w:pPr>
              <w:spacing w:before="0" w:after="0" w:line="300" w:lineRule="auto"/>
              <w:ind w:left="260" w:right="0"/>
            </w:pPr>
          </w:p>
        </w:tc>
        <w:tc>
          <w:tcPr>
            <w:tcW w:type="dxa" w:w="6313"/>
            <w:tcBorders>
              <w:bottom w:val="single" w:sz="2" w:space="0" w:color="E5E7EB"/>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Log storage location / retention period:</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Staff trained to oversee this system (names/roles):</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p>
      <w:pPr>
        <w:keepNext w:val="1"/>
        <w:keepLines w:val="1"/>
        <w:spacing w:before="180" w:after="60" w:line="276" w:lineRule="auto"/>
        <w:ind w:left="260" w:right="260"/>
      </w:pPr>
      <w:r>
        <w:rPr>
          <w:rFonts w:ascii="Funnel Display" w:hAnsi="Funnel Display" w:cs="Funnel Display" w:eastAsia="Funnel Display"/>
          <w:b/>
          <w:i w:val="0"/>
          <w:color w:val="35394F"/>
          <w:sz w:val="21"/>
        </w:rPr>
        <w:t>Incident and serious risk reporting</w:t>
      </w:r>
    </w:p>
    <w:p>
      <w:pPr>
        <w:spacing w:before="0" w:after="120" w:line="324" w:lineRule="auto"/>
        <w:ind w:left="260" w:right="260"/>
      </w:pPr>
      <w:r>
        <w:rPr>
          <w:rFonts w:ascii="Inter" w:hAnsi="Inter" w:cs="Inter" w:eastAsia="Inter"/>
          <w:b w:val="0"/>
          <w:i w:val="0"/>
          <w:color w:val="35394F"/>
          <w:sz w:val="20"/>
        </w:rPr>
        <w:t>Record any incidents or serious malfunctions here. Notify the provider and, where required, the national market surveillance authority.</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1680"/>
        <w:gridCol w:w="2228"/>
        <w:gridCol w:w="1744"/>
        <w:gridCol w:w="2033"/>
        <w:gridCol w:w="2180"/>
      </w:tblGrid>
      <w:tr>
        <w:trPr>
          <w:cantSplit w:val="1"/>
          <w:tblHeader w:val="1"/>
        </w:trPr>
        <w:tc>
          <w:tcPr>
            <w:tcW w:type="dxa" w:w="1680"/>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Date</w:t>
            </w:r>
          </w:p>
        </w:tc>
        <w:tc>
          <w:tcPr>
            <w:tcW w:type="dxa" w:w="2228"/>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Description of incident / risk</w:t>
            </w:r>
          </w:p>
        </w:tc>
        <w:tc>
          <w:tcPr>
            <w:tcW w:type="dxa" w:w="1744"/>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Action taken</w:t>
            </w:r>
          </w:p>
        </w:tc>
        <w:tc>
          <w:tcPr>
            <w:tcW w:type="dxa" w:w="2033"/>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Reported to provider?</w:t>
            </w:r>
          </w:p>
        </w:tc>
        <w:tc>
          <w:tcPr>
            <w:tcW w:type="dxa" w:w="2180"/>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Reported to authority?</w:t>
            </w:r>
          </w:p>
        </w:tc>
      </w:tr>
      <w:tr>
        <w:trPr>
          <w:cantSplit w:val="1"/>
        </w:trPr>
        <w:tc>
          <w:tcPr>
            <w:tcW w:type="dxa" w:w="168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2228"/>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744"/>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033"/>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18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1680"/>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2228"/>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744"/>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033"/>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18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r>
        <w:trPr>
          <w:cantSplit w:val="1"/>
        </w:trPr>
        <w:tc>
          <w:tcPr>
            <w:tcW w:type="dxa" w:w="168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2228"/>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744"/>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033"/>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18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1680"/>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2228"/>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744"/>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033"/>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18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bl>
    <w:p>
      <w:pPr>
        <w:spacing w:before="0" w:after="0" w:line="16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Form 3 – Fundamental Rights Impact Assessment (FRIA) (Art. 27 EU AI Act)</w:t>
      </w:r>
    </w:p>
    <w:p>
      <w:pPr>
        <w:spacing w:before="0" w:after="120" w:line="324" w:lineRule="auto"/>
        <w:ind w:left="260" w:right="260"/>
      </w:pPr>
      <w:r>
        <w:rPr>
          <w:rFonts w:ascii="Inter" w:hAnsi="Inter" w:cs="Inter" w:eastAsia="Inter"/>
          <w:b w:val="0"/>
          <w:i w:val="0"/>
          <w:color w:val="35394F"/>
          <w:sz w:val="20"/>
        </w:rPr>
        <w:t>Art. 27 requires certain deployers of high-risk AI systems to conduct a Fundamental Rights Impact Assessment before deployment. Required for: public bodies; private entities deploying systems affecting individuals in public services, benefits, or law enforcement; operators of critical infrastructure. If uncertain whether Art. 27 applies to you, seek qualified legal advice.</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w:t>
            </w:r>
            <w:r>
              <w:rPr>
                <w:rFonts w:ascii="Inter" w:hAnsi="Inter" w:cs="Inter" w:eastAsia="Inter"/>
                <w:b w:val="0"/>
                <w:i w:val="0"/>
                <w:color w:val="35394F"/>
                <w:sz w:val="16"/>
              </w:rPr>
              <w:t>The FRIA is separate from (but complementary to) a GDPR DPIA. It focuses on fundamental rights impacts beyond privacy – equality, non-discrimination, dignity, freedom of expression, access to justice. If the system also processes personal data, a DPIA under Art. 35 GDPR may also be required.</w:t>
            </w:r>
          </w:p>
        </w:tc>
      </w:tr>
    </w:tbl>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System name and Inventory ID:</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Deployer organisation:  ([COMPANY NAME])</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Assessment completed by:  (Name, role, date)</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Scope of deployment (who is affected):</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p>
      <w:pPr>
        <w:keepNext w:val="1"/>
        <w:keepLines w:val="1"/>
        <w:spacing w:before="180" w:after="60" w:line="276" w:lineRule="auto"/>
        <w:ind w:left="260" w:right="260"/>
      </w:pPr>
      <w:r>
        <w:rPr>
          <w:rFonts w:ascii="Funnel Display" w:hAnsi="Funnel Display" w:cs="Funnel Display" w:eastAsia="Funnel Display"/>
          <w:b/>
          <w:i w:val="0"/>
          <w:color w:val="35394F"/>
          <w:sz w:val="21"/>
        </w:rPr>
        <w:t>Fundamental rights screening – which rights could be affected?</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Potentially affected: Human dignity (Art. 1 EU Charter)</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Potentially affected: Right to equality and non-discrimination (Art. 21 EU Charter)  (High risk in employment, education, access to services.)</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Potentially affected: Privacy and data protection (Art. 7–8 EU Charter / GDPR)</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Potentially affected: Freedom of expression and information (Art. 11 EU Charter)</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Potentially affected: Right to an effective remedy and fair trial (Art. 47 EU Charter)  (Relevant in law enforcement / justice contexts.)</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Potentially affected: Right to work and freedom to engage in work (Art. 15 EU Charter)  (Relevant in hiring / performance management.)</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Potentially affected: Consumer protection rights</w:t>
      </w:r>
    </w:p>
    <w:p>
      <w:pPr>
        <w:spacing w:before="0" w:after="0" w:line="80" w:lineRule="exact"/>
      </w:pPr>
    </w:p>
    <w:p>
      <w:pPr>
        <w:keepNext w:val="1"/>
        <w:keepLines w:val="1"/>
        <w:spacing w:before="180" w:after="60" w:line="276" w:lineRule="auto"/>
        <w:ind w:left="260" w:right="260"/>
      </w:pPr>
      <w:r>
        <w:rPr>
          <w:rFonts w:ascii="Funnel Display" w:hAnsi="Funnel Display" w:cs="Funnel Display" w:eastAsia="Funnel Display"/>
          <w:b/>
          <w:i w:val="0"/>
          <w:color w:val="35394F"/>
          <w:sz w:val="21"/>
        </w:rPr>
        <w:t>Impact assessment and mitigating measures</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2040"/>
        <w:gridCol w:w="1738"/>
        <w:gridCol w:w="1613"/>
        <w:gridCol w:w="1426"/>
        <w:gridCol w:w="1619"/>
        <w:gridCol w:w="1430"/>
      </w:tblGrid>
      <w:tr>
        <w:trPr>
          <w:cantSplit w:val="1"/>
          <w:tblHeader w:val="1"/>
        </w:trPr>
        <w:tc>
          <w:tcPr>
            <w:tcW w:type="dxa" w:w="2040"/>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Fundamental right at risk</w:t>
            </w:r>
          </w:p>
        </w:tc>
        <w:tc>
          <w:tcPr>
            <w:tcW w:type="dxa" w:w="1738"/>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Description of potential impact</w:t>
            </w:r>
          </w:p>
        </w:tc>
        <w:tc>
          <w:tcPr>
            <w:tcW w:type="dxa" w:w="1613"/>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Likelihood (H/M/L)</w:t>
            </w:r>
          </w:p>
        </w:tc>
        <w:tc>
          <w:tcPr>
            <w:tcW w:type="dxa" w:w="1426"/>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Severity (H/M/L)</w:t>
            </w:r>
          </w:p>
        </w:tc>
        <w:tc>
          <w:tcPr>
            <w:tcW w:type="dxa" w:w="1619"/>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Mitigating measure</w:t>
            </w:r>
          </w:p>
        </w:tc>
        <w:tc>
          <w:tcPr>
            <w:tcW w:type="dxa" w:w="1430"/>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Residual risk</w:t>
            </w:r>
          </w:p>
        </w:tc>
      </w:tr>
      <w:tr>
        <w:trPr>
          <w:cantSplit w:val="1"/>
        </w:trPr>
        <w:tc>
          <w:tcPr>
            <w:tcW w:type="dxa" w:w="204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1738"/>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613"/>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42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619"/>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43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2040"/>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1738"/>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613"/>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426"/>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619"/>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43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r>
        <w:trPr>
          <w:cantSplit w:val="1"/>
        </w:trPr>
        <w:tc>
          <w:tcPr>
            <w:tcW w:type="dxa" w:w="204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1738"/>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613"/>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42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619"/>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43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2040"/>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1738"/>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613"/>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426"/>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619"/>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43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Overall FRIA conclusion:</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r>
        <w:trPr>
          <w:cantSplit w:val="1"/>
        </w:trPr>
        <w:tc>
          <w:tcPr>
            <w:tcW w:type="dxa" w:w="3551"/>
            <w:tcBorders>
              <w:bottom w:val="single" w:sz="4" w:space="0" w:color="6B7280"/>
            </w:tcBorders>
            <w:shd w:val="clear" w:color="auto" w:fill="F9FAFB"/>
            <w:tcMar>
              <w:top w:w="90" w:type="dxa"/>
              <w:left w:w="0" w:type="dxa"/>
              <w:bottom w:w="90" w:type="dxa"/>
              <w:right w:w="120" w:type="dxa"/>
            </w:tcMar>
            <w:vAlign w:val="top"/>
          </w:tcPr>
          <w:p>
            <w:pPr>
              <w:spacing w:before="0" w:after="0" w:line="300" w:lineRule="auto"/>
              <w:ind w:left="260" w:right="0"/>
            </w:pPr>
          </w:p>
        </w:tc>
        <w:tc>
          <w:tcPr>
            <w:tcW w:type="dxa" w:w="6313"/>
            <w:tcBorders>
              <w:bottom w:val="single" w:sz="2" w:space="0" w:color="E5E7EB"/>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Sign-off (DPO / responsible manager / legal):</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Form 4 – Post-Market Monitoring Log (Art. 26(6) EU AI Act)</w:t>
      </w:r>
    </w:p>
    <w:p>
      <w:pPr>
        <w:spacing w:before="0" w:after="120" w:line="324" w:lineRule="auto"/>
        <w:ind w:left="260" w:right="260"/>
      </w:pPr>
      <w:r>
        <w:rPr>
          <w:rFonts w:ascii="Inter" w:hAnsi="Inter" w:cs="Inter" w:eastAsia="Inter"/>
          <w:b w:val="0"/>
          <w:i w:val="0"/>
          <w:color w:val="35394F"/>
          <w:sz w:val="20"/>
        </w:rPr>
        <w:t>Where technically feasible, deployers of high-risk AI systems must maintain logs of the system's operation. Use this form to record periodic monitoring reviews.</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w:t>
            </w:r>
            <w:r>
              <w:rPr>
                <w:rFonts w:ascii="Inter" w:hAnsi="Inter" w:cs="Inter" w:eastAsia="Inter"/>
                <w:b w:val="0"/>
                <w:i w:val="0"/>
                <w:color w:val="35394F"/>
                <w:sz w:val="16"/>
              </w:rPr>
              <w:t>Log what you can access – not all systems expose operation logs. At minimum: document your review of the system's outputs, any anomalies observed, and whether the system continues to operate within its intended purpose. Frequency: at least quarterly for high-risk systems, or whenever a material change occurs.</w:t>
            </w:r>
          </w:p>
        </w:tc>
      </w:tr>
    </w:tbl>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1600"/>
        <w:gridCol w:w="1674"/>
        <w:gridCol w:w="1851"/>
        <w:gridCol w:w="1816"/>
        <w:gridCol w:w="1462"/>
        <w:gridCol w:w="1460"/>
      </w:tblGrid>
      <w:tr>
        <w:trPr>
          <w:cantSplit w:val="1"/>
          <w:tblHeader w:val="1"/>
        </w:trPr>
        <w:tc>
          <w:tcPr>
            <w:tcW w:type="dxa" w:w="1600"/>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Review date</w:t>
            </w:r>
          </w:p>
        </w:tc>
        <w:tc>
          <w:tcPr>
            <w:tcW w:type="dxa" w:w="1674"/>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Reviewer name / role</w:t>
            </w:r>
          </w:p>
        </w:tc>
        <w:tc>
          <w:tcPr>
            <w:tcW w:type="dxa" w:w="1851"/>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System operating normally?</w:t>
            </w:r>
          </w:p>
        </w:tc>
        <w:tc>
          <w:tcPr>
            <w:tcW w:type="dxa" w:w="1816"/>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Anomalies / issues observed</w:t>
            </w:r>
          </w:p>
        </w:tc>
        <w:tc>
          <w:tcPr>
            <w:tcW w:type="dxa" w:w="1462"/>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Action taken</w:t>
            </w:r>
          </w:p>
        </w:tc>
        <w:tc>
          <w:tcPr>
            <w:tcW w:type="dxa" w:w="1460"/>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Next review due</w:t>
            </w:r>
          </w:p>
        </w:tc>
      </w:tr>
      <w:tr>
        <w:trPr>
          <w:cantSplit w:val="1"/>
        </w:trPr>
        <w:tc>
          <w:tcPr>
            <w:tcW w:type="dxa" w:w="160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1674"/>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85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81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46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46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1600"/>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1674"/>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85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816"/>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46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46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r>
        <w:trPr>
          <w:cantSplit w:val="1"/>
        </w:trPr>
        <w:tc>
          <w:tcPr>
            <w:tcW w:type="dxa" w:w="160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1674"/>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85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81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46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46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1600"/>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1674"/>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85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816"/>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46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46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r>
        <w:trPr>
          <w:cantSplit w:val="1"/>
        </w:trPr>
        <w:tc>
          <w:tcPr>
            <w:tcW w:type="dxa" w:w="160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1674"/>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85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81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46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46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1600"/>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1674"/>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85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816"/>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46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46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bl>
    <w:p>
      <w:pPr>
        <w:spacing w:before="0" w:after="0" w:line="16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Form 5 – Art. 50 Transparency Disclosure (EU AI Act)</w:t>
      </w:r>
    </w:p>
    <w:p>
      <w:pPr>
        <w:spacing w:before="0" w:after="120" w:line="324" w:lineRule="auto"/>
        <w:ind w:left="260" w:right="260"/>
      </w:pPr>
      <w:r>
        <w:rPr>
          <w:rFonts w:ascii="Inter" w:hAnsi="Inter" w:cs="Inter" w:eastAsia="Inter"/>
          <w:b w:val="0"/>
          <w:i w:val="0"/>
          <w:color w:val="35394F"/>
          <w:sz w:val="20"/>
        </w:rPr>
        <w:t>Art. 50 EU AI Act requires deployers to inform individuals when they interact with AI systems – specifically chatbots, emotion-recognition systems, and AI-generated content. Use this form to draft and document your transparency disclosure.</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w:t>
            </w:r>
            <w:r>
              <w:rPr>
                <w:rFonts w:ascii="Inter" w:hAnsi="Inter" w:cs="Inter" w:eastAsia="Inter"/>
                <w:b w:val="0"/>
                <w:i w:val="0"/>
                <w:color w:val="35394F"/>
                <w:sz w:val="16"/>
              </w:rPr>
              <w:t>You must inform the user in a clear and timely manner – before or at the point of interaction. Exception: if it is obvious the user is interacting with AI (e.g. a fully automated pipeline with no human expectation). For AI-generated text/image/video content, machine-readable labelling is also required.</w:t>
            </w:r>
          </w:p>
        </w:tc>
      </w:tr>
    </w:tbl>
    <w:p>
      <w:pPr>
        <w:spacing w:before="0" w:after="0" w:line="120" w:lineRule="exact"/>
      </w:pPr>
    </w:p>
    <w:p>
      <w:pPr>
        <w:keepNext w:val="1"/>
        <w:keepLines w:val="1"/>
        <w:spacing w:before="180" w:after="60" w:line="276" w:lineRule="auto"/>
        <w:ind w:left="260" w:right="260"/>
      </w:pPr>
      <w:r>
        <w:rPr>
          <w:rFonts w:ascii="Funnel Display" w:hAnsi="Funnel Display" w:cs="Funnel Display" w:eastAsia="Funnel Display"/>
          <w:b/>
          <w:i w:val="0"/>
          <w:color w:val="35394F"/>
          <w:sz w:val="21"/>
        </w:rPr>
        <w:t>System subject to Art. 50</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System name:</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Type:  (Chatbot / emotion recognition / synthetic content / other)</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Context of use:  (Where and how users encounter this system)</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Disclosure trigger:  (When/how the disclosure is shown)</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p>
      <w:pPr>
        <w:keepNext w:val="1"/>
        <w:keepLines w:val="1"/>
        <w:spacing w:before="180" w:after="60" w:line="276" w:lineRule="auto"/>
        <w:ind w:left="260" w:right="260"/>
      </w:pPr>
      <w:r>
        <w:rPr>
          <w:rFonts w:ascii="Funnel Display" w:hAnsi="Funnel Display" w:cs="Funnel Display" w:eastAsia="Funnel Display"/>
          <w:b/>
          <w:i w:val="0"/>
          <w:color w:val="35394F"/>
          <w:sz w:val="21"/>
        </w:rPr>
        <w:t>Disclosure text (template – adapt for your context)</w:t>
      </w:r>
    </w:p>
    <w:p>
      <w:pPr>
        <w:spacing w:before="0" w:after="120" w:line="324" w:lineRule="auto"/>
        <w:ind w:left="260" w:right="260"/>
      </w:pPr>
      <w:r>
        <w:rPr>
          <w:rFonts w:ascii="Inter" w:hAnsi="Inter" w:cs="Inter" w:eastAsia="Inter"/>
          <w:b w:val="0"/>
          <w:i w:val="0"/>
          <w:color w:val="35394F"/>
          <w:sz w:val="20"/>
        </w:rPr>
        <w:t>Below is a template disclosure statement. Replace placeholders and adapt to your system and context:</w:t>
      </w:r>
    </w:p>
    <w:p>
      <w:pPr>
        <w:spacing w:before="0" w:after="120" w:line="324" w:lineRule="auto"/>
        <w:ind w:left="260" w:right="260"/>
      </w:pPr>
      <w:r>
        <w:rPr>
          <w:rFonts w:ascii="Inter" w:hAnsi="Inter" w:cs="Inter" w:eastAsia="Inter"/>
          <w:b w:val="0"/>
          <w:i w:val="0"/>
          <w:color w:val="35394F"/>
          <w:sz w:val="20"/>
        </w:rPr>
        <w:t xml:space="preserve">"You are interacting with an AI assistant powered by </w:t>
      </w:r>
      <w:r>
        <w:rPr>
          <w:rFonts w:ascii="Inter" w:hAnsi="Inter" w:cs="Inter" w:eastAsia="Inter"/>
          <w:b/>
          <w:i w:val="0"/>
          <w:color w:val="E34663"/>
          <w:sz w:val="20"/>
        </w:rPr>
        <w:t>[AI SYSTEM NAME / TECHNOLOGY]</w:t>
      </w:r>
      <w:r>
        <w:rPr>
          <w:rFonts w:ascii="Inter" w:hAnsi="Inter" w:cs="Inter" w:eastAsia="Inter"/>
          <w:b w:val="0"/>
          <w:i w:val="0"/>
          <w:color w:val="35394F"/>
          <w:sz w:val="20"/>
        </w:rPr>
        <w:t xml:space="preserve">. This system provides automated responses based on your input. For complex issues or decisions with significant impact, please contact a human representative at </w:t>
      </w:r>
      <w:r>
        <w:rPr>
          <w:rFonts w:ascii="Inter" w:hAnsi="Inter" w:cs="Inter" w:eastAsia="Inter"/>
          <w:b/>
          <w:i w:val="0"/>
          <w:color w:val="E34663"/>
          <w:sz w:val="20"/>
        </w:rPr>
        <w:t>[CONTACT EMAIL / PHONE]</w:t>
      </w:r>
      <w:r>
        <w:rPr>
          <w:rFonts w:ascii="Inter" w:hAnsi="Inter" w:cs="Inter" w:eastAsia="Inter"/>
          <w:b w:val="0"/>
          <w:i w:val="0"/>
          <w:color w:val="35394F"/>
          <w:sz w:val="20"/>
        </w:rPr>
        <w:t>. AI-generated responses are not a substitute for professional advice."</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w:t>
            </w:r>
            <w:r>
              <w:rPr>
                <w:rFonts w:ascii="Inter" w:hAnsi="Inter" w:cs="Inter" w:eastAsia="Inter"/>
                <w:b w:val="0"/>
                <w:i w:val="0"/>
                <w:color w:val="35394F"/>
                <w:sz w:val="16"/>
              </w:rPr>
              <w:t>For chatbots on a website: show the disclosure as the first message in the chat window, or as a label next to the chat widget. For AI-generated marketing content: add a label 'Generated with AI assistance' visible on/near the content. Document where and when the disclosure is shown – this is your compliance evidence.</w:t>
            </w:r>
          </w:p>
        </w:tc>
      </w:tr>
    </w:tbl>
    <w:p>
      <w:pPr>
        <w:spacing w:before="0" w:after="0" w:line="120" w:lineRule="exact"/>
      </w:pPr>
    </w:p>
    <w:p>
      <w:pPr>
        <w:keepNext w:val="1"/>
        <w:keepLines w:val="1"/>
        <w:spacing w:before="180" w:after="60" w:line="276" w:lineRule="auto"/>
        <w:ind w:left="260" w:right="260"/>
      </w:pPr>
      <w:r>
        <w:rPr>
          <w:rFonts w:ascii="Funnel Display" w:hAnsi="Funnel Display" w:cs="Funnel Display" w:eastAsia="Funnel Display"/>
          <w:b/>
          <w:i w:val="0"/>
          <w:color w:val="35394F"/>
          <w:sz w:val="21"/>
        </w:rPr>
        <w:t>Disclosure implementation record</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Disclosure implemented on (date):</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Implementation method:  (e.g. chat opening message, website banner, content label, email footer)</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Reviewed by:  (Name, role, date)</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Next review due:</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p>
      <w:pPr>
        <w:pBdr>
          <w:top w:val="single" w:sz="4" w:space="0" w:color="E5E7EB"/>
        </w:pBdr>
        <w:spacing w:before="200" w:after="200" w:line="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865"/>
      </w:tblGrid>
      <w:tr>
        <w:trPr>
          <w:cantSplit w:val="1"/>
        </w:trPr>
        <w:tc>
          <w:tcPr>
            <w:tcW w:type="dxa" w:w="9865"/>
            <w:tcBorders>
              <w:top w:val="single" w:sz="8" w:space="0" w:color="35394F"/>
            </w:tcBorders>
            <w:shd w:val="clear" w:color="auto" w:fill="F9FAFB"/>
            <w:tcMar>
              <w:top w:w="150" w:type="dxa"/>
              <w:left w:w="0" w:type="dxa"/>
              <w:bottom w:w="150" w:type="dxa"/>
              <w:right w:w="0" w:type="dxa"/>
            </w:tcMar>
          </w:tcPr>
          <w:p>
            <w:pPr>
              <w:spacing w:before="0" w:after="0" w:line="312" w:lineRule="auto"/>
              <w:ind w:left="260" w:right="260"/>
            </w:pPr>
            <w:r>
              <w:rPr>
                <w:rFonts w:ascii="Inter" w:hAnsi="Inter" w:cs="Inter" w:eastAsia="Inter"/>
                <w:b w:val="0"/>
                <w:i w:val="0"/>
                <w:color w:val="6B7280"/>
                <w:sz w:val="16"/>
              </w:rPr>
              <w:t>This template is provided for guidance only and does not constitute legal advice. It is based on Regulation (EU) 2024/1689 (EU AI Act). Reviewed by a certified Data Protection Officer (CIPP/E). Provided by ETHYX – ethyx.eu. GDPR max fine: €20M / 4% turnover. EU AI Act max fine: €35M / 7% turnover. Timeline note (Digital Omnibus, adopted June 2026): obligations for stand-alone Annex III high-risk systems, including the Art. 26/27 deployer duties this pack documents, apply from 2 December 2027 (Annex I systems: 2 August 2028). Unchanged: Art. 4 AI literacy (in force since 2 February 2025) and Art. 50 transparency (from 2 August 2026). Preparing this documentation early remains the recommended path - the obligations are deferred, not cancelled. Have this document reviewed by a qualified DPO or legal counsel before relying on it. Version 1.1 · July 2026.</w:t>
            </w:r>
          </w:p>
        </w:tc>
      </w:tr>
    </w:tbl>
    <w:sectPr w:rsidR="00FC693F" w:rsidRPr="0006063C" w:rsidSect="00034616">
      <w:footerReference w:type="default" r:id="rId11"/>
      <w:pgSz w:w="11906" w:h="16838"/>
      <w:pgMar w:top="794" w:right="1020" w:bottom="850" w:left="1020" w:header="454"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Inter">
    <w:altName w:val="Arial"/>
    <w:embedRegular r:id="rId1" w:fontKey="{B3DB4CE0-73F4-4B95-BEB3-E1ACE1FC92DF}"/>
    <w:embedBold r:id="rId2" w:fontKey="{2A8CBBF2-4BF0-4835-8348-EA1665DDB164}"/>
  </w:font>
  <w:font w:name="Funnel Display">
    <w:altName w:val="Arial"/>
    <w:embedBold r:id="rId3" w:fontKey="{445FB217-C13E-4E3E-8AAD-75355416294C}"/>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0" w:lineRule="exact"/>
    </w:pPr>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371"/>
      <w:gridCol w:w="493"/>
    </w:tblGrid>
    <w:tr>
      <w:tc>
        <w:tcPr>
          <w:tcW w:type="dxa" w:w="9371"/>
          <w:tcBorders>
            <w:top w:val="single" w:sz="4" w:space="0" w:color="E5E7EB"/>
          </w:tcBorders>
          <w:tcMar>
            <w:top w:w="110" w:type="dxa"/>
            <w:left w:w="0" w:type="dxa"/>
            <w:bottom w:w="0" w:type="dxa"/>
            <w:right w:w="0" w:type="dxa"/>
          </w:tcMar>
        </w:tcPr>
        <w:p>
          <w:pPr>
            <w:spacing w:before="0" w:after="0" w:line="240" w:lineRule="auto"/>
          </w:pPr>
          <w:r>
            <w:rPr>
              <w:rFonts w:ascii="Inter" w:hAnsi="Inter" w:cs="Inter" w:eastAsia="Inter"/>
              <w:b w:val="0"/>
              <w:i w:val="0"/>
              <w:color w:val="6B7280"/>
              <w:sz w:val="14"/>
            </w:rPr>
            <w:t>Deployer Documentation Pack · Reviewed by a certified Data Protection Officer (CIPP/E) · Provided by ETHYX (</w:t>
          </w:r>
          <w:hyperlink r:id="rId1">
            <w:r>
              <w:rPr>
                <w:rFonts w:ascii="Inter" w:hAnsi="Inter" w:cs="Inter" w:eastAsia="Inter"/>
                <w:b w:val="0"/>
                <w:i w:val="0"/>
                <w:color w:val="6B7280"/>
                <w:sz w:val="14"/>
              </w:rPr>
              <w:t>ethyx.eu</w:t>
            </w:r>
          </w:hyperlink>
          <w:r>
            <w:rPr>
              <w:rFonts w:ascii="Inter" w:hAnsi="Inter" w:cs="Inter" w:eastAsia="Inter"/>
              <w:b w:val="0"/>
              <w:i w:val="0"/>
              <w:color w:val="6B7280"/>
              <w:sz w:val="14"/>
            </w:rPr>
            <w:t>) · For guidance only – not legal advice</w:t>
          </w:r>
        </w:p>
      </w:tc>
      <w:tc>
        <w:tcPr>
          <w:tcW w:type="dxa" w:w="493"/>
          <w:tcBorders>
            <w:top w:val="single" w:sz="4" w:space="0" w:color="E5E7EB"/>
          </w:tcBorders>
          <w:tcMar>
            <w:top w:w="110" w:type="dxa"/>
            <w:left w:w="0" w:type="dxa"/>
            <w:bottom w:w="0" w:type="dxa"/>
            <w:right w:w="260" w:type="dxa"/>
          </w:tcMar>
        </w:tcPr>
        <w:p>
          <w:pPr>
            <w:spacing w:before="0" w:after="0" w:line="240" w:lineRule="auto"/>
            <w:jc w:val="right"/>
            <w:rPr>
              <w:rFonts w:ascii="Inter" w:hAnsi="Inter" w:cs="Inter" w:eastAsia="Inter"/>
              <w:b w:val="0"/>
              <w:i w:val="0"/>
              <w:color w:val="6B7280"/>
              <w:sz w:val="14"/>
            </w:rPr>
          </w:pPr>
          <w:r>
            <w:rPr>
              <w:rFonts w:ascii="Inter" w:hAnsi="Inter" w:cs="Inter" w:eastAsia="Inter"/>
              <w:b w:val="0"/>
              <w:i w:val="0"/>
              <w:color w:val="6B7280"/>
              <w:sz w:val="14"/>
            </w:rPr>
            <w:fldChar w:fldCharType="begin"/>
          </w:r>
          <w:r>
            <w:rPr>
              <w:rFonts w:ascii="Inter" w:hAnsi="Inter" w:cs="Inter" w:eastAsia="Inter"/>
              <w:b w:val="0"/>
              <w:i w:val="0"/>
              <w:color w:val="6B7280"/>
              <w:sz w:val="14"/>
            </w:rPr>
            <w:instrText xml:space="preserve"> PAGE </w:instrText>
          </w:r>
          <w:r>
            <w:rPr>
              <w:rFonts w:ascii="Inter" w:hAnsi="Inter" w:cs="Inter" w:eastAsia="Inter"/>
              <w:b w:val="0"/>
              <w:i w:val="0"/>
              <w:color w:val="6B7280"/>
              <w:sz w:val="14"/>
            </w:rPr>
            <w:fldChar w:fldCharType="separate"/>
          </w:r>
          <w:r>
            <w:rPr>
              <w:rFonts w:ascii="Inter" w:hAnsi="Inter" w:cs="Inter" w:eastAsia="Inter"/>
              <w:b w:val="0"/>
              <w:i w:val="0"/>
              <w:color w:val="6B7280"/>
              <w:sz w:val="14"/>
            </w:rPr>
            <w:t/>
          </w:r>
          <w:r>
            <w:rPr>
              <w:rFonts w:ascii="Inter" w:hAnsi="Inter" w:cs="Inter" w:eastAsia="Inter"/>
              <w:b w:val="0"/>
              <w:i w:val="0"/>
              <w:color w:val="6B7280"/>
              <w:sz w:val="14"/>
            </w:rPr>
            <w:fldChar w:fldCharType="end"/>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embedTrueTypeFonts w:val="true"/>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00" w:lineRule="auto"/>
    </w:pPr>
    <w:rPr>
      <w:rFonts w:ascii="Inter" w:hAnsi="Inter" w:cs="Inter" w:eastAsia="Inter"/>
      <w:color w:val="35394F"/>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ethyx.eu/?utm_source=gated-asset&amp;utm_medium=document&amp;utm_campaign=deployer-documentation-pack-en" TargetMode="External"/><Relationship Id="rId11"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fntdata"/><Relationship Id="rId2" Type="http://schemas.openxmlformats.org/officeDocument/2006/relationships/font" Target="fonts/font2.fntdata"/><Relationship Id="rId3" Type="http://schemas.openxmlformats.org/officeDocument/2006/relationships/font" Target="fonts/font3.fntdata"/></Relationships>
</file>

<file path=word/_rels/footer1.xml.rels><?xml version='1.0' encoding='UTF-8' standalone='yes'?>
<Relationships xmlns="http://schemas.openxmlformats.org/package/2006/relationships"><Relationship Id="rId1" Type="http://schemas.openxmlformats.org/officeDocument/2006/relationships/hyperlink" Target="https://ethyx.eu/?utm_source=gated-asset&amp;utm_medium=document&amp;utm_campaign=deployer-documentation-pack-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Deployer Documentation Pack</dc:title>
  <dc:subject/>
  <dc:creator>ETHYX</dc:creator>
  <cp:keywords/>
  <dc:description>Legally reviewed by a certified Data Protection Officer (CIPP/E) · Provided by ETHYX · Version 1.1 · July 2026</dc:description>
  <cp:lastModifiedBy/>
  <cp:revision>1</cp:revision>
  <dcterms:created xsi:type="dcterms:W3CDTF">2013-12-23T23:15:00Z</dcterms:created>
  <dcterms:modified xsi:type="dcterms:W3CDTF">2013-12-23T23:15:00Z</dcterms:modified>
  <cp:category/>
</cp:coreProperties>
</file>